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 на поставку</w:t>
      </w:r>
    </w:p>
    <w:p>
      <w:r>
        <w:t>Замените поля в квадратных скобках. Форма для обычной коммерческой закупки; специальные условия процедуры проверяются отдельно.</w:t>
      </w:r>
    </w:p>
    <w:p>
      <w:r>
        <w:t>КП № [номер] от [дата]. Покупатель: [название, ИНН, контакт]. Поставщик: [юридическое лицо, ИНН, контакт].</w:t>
      </w:r>
    </w:p>
    <w:p>
      <w:r>
        <w:t>В ответ на запрос [номер, дата] предлагаем поставку по спецификации [номер, редакция]. Использованные вложения: [файлы и версии].</w:t>
      </w:r>
    </w:p>
    <w:p>
      <w:pPr>
        <w:pStyle w:val="Heading1"/>
      </w:pPr>
      <w:r>
        <w:t>Состав и цена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118"/>
        <w:gridCol w:w="1587"/>
        <w:gridCol w:w="1644"/>
        <w:gridCol w:w="1644"/>
      </w:tblGrid>
      <w:tr>
        <w:trPr>
          <w:cantSplit/>
          <w:tblHeader/>
        </w:trPr>
        <w:tc>
          <w:tcPr>
            <w:tcW w:type="dxa" w:w="737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type="dxa" w:w="3118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Изделие и документ</w:t>
            </w:r>
          </w:p>
        </w:tc>
        <w:tc>
          <w:tcPr>
            <w:tcW w:type="dxa" w:w="1587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Количество и единица</w:t>
            </w:r>
          </w:p>
        </w:tc>
        <w:tc>
          <w:tcPr>
            <w:tcW w:type="dxa" w:w="1644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Цена единицы</w:t>
            </w:r>
          </w:p>
        </w:tc>
        <w:tc>
          <w:tcPr>
            <w:tcW w:type="dxa" w:w="1644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Сумма</w:t>
            </w:r>
          </w:p>
        </w:tc>
      </w:tr>
      <w:tr>
        <w:trPr>
          <w:cantSplit/>
        </w:trPr>
        <w:tc>
          <w:tcPr>
            <w:tcW w:type="dxa" w:w="73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[№]</w:t>
            </w:r>
          </w:p>
        </w:tc>
        <w:tc>
          <w:tcPr>
            <w:tcW w:type="dxa" w:w="311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[изделие, чертеж, редакция]</w:t>
            </w:r>
          </w:p>
        </w:tc>
        <w:tc>
          <w:tcPr>
            <w:tcW w:type="dxa" w:w="158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[количество, ед.]</w:t>
            </w:r>
          </w:p>
        </w:tc>
        <w:tc>
          <w:tcPr>
            <w:tcW w:type="dxa" w:w="16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[₽]</w:t>
            </w:r>
          </w:p>
        </w:tc>
        <w:tc>
          <w:tcPr>
            <w:tcW w:type="dxa" w:w="16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[₽]</w:t>
            </w:r>
          </w:p>
        </w:tc>
      </w:tr>
      <w:tr>
        <w:trPr>
          <w:cantSplit/>
        </w:trPr>
        <w:tc>
          <w:tcPr>
            <w:tcW w:type="dxa" w:w="73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[№]</w:t>
            </w:r>
          </w:p>
        </w:tc>
        <w:tc>
          <w:tcPr>
            <w:tcW w:type="dxa" w:w="3118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[изделие, чертеж, редакция]</w:t>
            </w:r>
          </w:p>
        </w:tc>
        <w:tc>
          <w:tcPr>
            <w:tcW w:type="dxa" w:w="158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[количество, ед.]</w:t>
            </w:r>
          </w:p>
        </w:tc>
        <w:tc>
          <w:tcPr>
            <w:tcW w:type="dxa" w:w="16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[₽]</w:t>
            </w:r>
          </w:p>
        </w:tc>
        <w:tc>
          <w:tcPr>
            <w:tcW w:type="dxa" w:w="1644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[₽]</w:t>
            </w:r>
          </w:p>
        </w:tc>
      </w:tr>
    </w:tbl>
    <w:p/>
    <w:p>
      <w:r>
        <w:t>Комплектность, работы, упаковка и документы: [перечень]. Исключено: [перечень/нет]. Отклонения от запроса: [перечень/нет].</w:t>
      </w:r>
    </w:p>
    <w:p>
      <w:r>
        <w:t>НДС и налоговые условия: [применимая формулировка продавца; ставка и сумма либо соответствующее основание]. Указанная цена [включает/не включает] налог.</w:t>
      </w:r>
    </w:p>
    <w:p>
      <w:r>
        <w:t>Стоимость товара: [₽]. Доставка: [включена/отдельно, ₽/не рассчитана]. Прочие обязательные расходы: [состав и ₽]. Подтвержденный итог к оплате: [₽/не подтвержден; причины].</w:t>
      </w:r>
    </w:p>
    <w:p>
      <w:pPr>
        <w:pStyle w:val="Heading1"/>
      </w:pPr>
      <w:r>
        <w:t>Исполнение поставки</w:t>
      </w:r>
    </w:p>
    <w:p>
      <w:r>
        <w:t>Пункт передачи и доставка: [адрес, способ, точный объем]. Разгрузка: [кто организует].</w:t>
      </w:r>
    </w:p>
    <w:p>
      <w:r>
        <w:t>Срок: [длительность] от [событие начала]. Требуемая дата получения: [дата]. Подтвержденная дата/отклонение: [данные]. График: [одна партия/приложение].</w:t>
      </w:r>
    </w:p>
    <w:p>
      <w:r>
        <w:t>Оплата: [размер платежей, даты и события]. Приемка: [параметры, документы, порядок]. Гарантийные условия: [условия/приложение].</w:t>
      </w:r>
    </w:p>
    <w:p>
      <w:r>
        <w:t>Предложение действительно до [дата]. Технический контакт: [данные]. Приложения: [перечень, версии].</w:t>
      </w:r>
    </w:p>
    <w:p>
      <w:r>
        <w:br w:type="page"/>
      </w:r>
    </w:p>
    <w:p>
      <w:pPr>
        <w:pStyle w:val="Heading1"/>
      </w:pPr>
      <w:r>
        <w:t>Учебное заполнение и проверка</w:t>
      </w:r>
    </w:p>
    <w:p>
      <w:r>
        <w:t>Все числа и изделия условные. Учебная партия: 240 кронштейнов КР-17 по редакции 2. Цена единицы 480 ₽, стоимость товара 115 200 ₽. Доставка именно этой партии 7 200 ₽ отдельно. Итог 122 400 ₽. Суммы уже включают применимые налоги; налоговый режим учебной компании не назначен.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25"/>
        <w:gridCol w:w="4706"/>
      </w:tblGrid>
      <w:tr>
        <w:trPr>
          <w:cantSplit/>
          <w:tblHeader/>
        </w:trPr>
        <w:tc>
          <w:tcPr>
            <w:tcW w:type="dxa" w:w="4025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Действие</w:t>
            </w:r>
          </w:p>
        </w:tc>
        <w:tc>
          <w:tcPr>
            <w:tcW w:type="dxa" w:w="4706"/>
            <w:shd w:fill="EEF1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sz w:val="19"/>
              </w:rPr>
              <w:t>Проверяемый результат</w:t>
            </w:r>
          </w:p>
        </w:tc>
      </w:tr>
      <w:tr>
        <w:trPr>
          <w:cantSplit/>
        </w:trPr>
        <w:tc>
          <w:tcPr>
            <w:tcW w:type="dxa" w:w="402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240 × 480</w:t>
            </w:r>
          </w:p>
        </w:tc>
        <w:tc>
          <w:tcPr>
            <w:tcW w:type="dxa" w:w="470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115 200 ₽ за товар</w:t>
            </w:r>
          </w:p>
        </w:tc>
      </w:tr>
      <w:tr>
        <w:trPr>
          <w:cantSplit/>
        </w:trPr>
        <w:tc>
          <w:tcPr>
            <w:tcW w:type="dxa" w:w="402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115 200 + 7 200</w:t>
            </w:r>
          </w:p>
        </w:tc>
        <w:tc>
          <w:tcPr>
            <w:tcW w:type="dxa" w:w="470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122 400 ₽ к оплате</w:t>
            </w:r>
          </w:p>
        </w:tc>
      </w:tr>
      <w:tr>
        <w:trPr>
          <w:cantSplit/>
        </w:trPr>
        <w:tc>
          <w:tcPr>
            <w:tcW w:type="dxa" w:w="402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Заменили количество на 120, но не итог</w:t>
            </w:r>
          </w:p>
        </w:tc>
        <w:tc>
          <w:tcPr>
            <w:tcW w:type="dxa" w:w="470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Противоречие: товар должен стоить 57 600 ₽</w:t>
            </w:r>
          </w:p>
        </w:tc>
      </w:tr>
      <w:tr>
        <w:trPr>
          <w:cantSplit/>
        </w:trPr>
        <w:tc>
          <w:tcPr>
            <w:tcW w:type="dxa" w:w="4025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Доставка уже входит в товар</w:t>
            </w:r>
          </w:p>
        </w:tc>
        <w:tc>
          <w:tcPr>
            <w:tcW w:type="dxa" w:w="4706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sz w:val="19"/>
              </w:rPr>
              <w:t>Дополнительная доставка 0 ₽; повторное сложение исключается</w:t>
            </w:r>
          </w:p>
        </w:tc>
      </w:tr>
    </w:tbl>
    <w:p/>
    <w:p>
      <w:r>
        <w:t>☐ Совпадают запрос, чертеж и редакции приложений.</w:t>
      </w:r>
    </w:p>
    <w:p>
      <w:r>
        <w:t>☐ Суммы относятся к указанному количеству и единице.</w:t>
      </w:r>
    </w:p>
    <w:p>
      <w:r>
        <w:t>☐ Неизвестные расходы не записаны нулем.</w:t>
      </w:r>
    </w:p>
    <w:p>
      <w:r>
        <w:t>☐ Срок имеет событие начала и точку завершения.</w:t>
      </w:r>
    </w:p>
    <w:p>
      <w:r>
        <w:t>☐ Состав, исключения и налоговые условия заполнены.</w:t>
      </w:r>
    </w:p>
    <w:p>
      <w:r>
        <w:t>Учебная проверка редакцией не заменяет проверку реальным производителем и бухгалтером. Для рецензии: проверить однозначность состава, приемки, начала срока и налоговой формулировки.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РусПром  ·  Рабочая форма  ·  01.10.2026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