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коммерческого предложения</w:t>
      </w:r>
    </w:p>
    <w:p>
      <w:r>
        <w:t>Заполните письмо и спецификацию одним набором данных. Удалите лишние варианты. Технические параметры предоставляет ответственное подразделение покупателя.</w:t>
      </w:r>
    </w:p>
    <w:p>
      <w:r>
        <w:t>Тема: Запрос КП — [изделие], [количество и единица], спецификация [номер, редакция].</w:t>
      </w:r>
    </w:p>
    <w:p>
      <w:r>
        <w:t>Добрый день. Просим рассчитать [предмет] по приложенной спецификации [номер, редакция, дата]. Цель запроса: [предварительный бюджет/выбор исполнителя].</w:t>
      </w:r>
    </w:p>
    <w:p>
      <w:r>
        <w:t>Требуется получение [дата] по адресу [полный адрес]. Условия передачи и разгрузки: [данные]. Требования к комплектности, контролю и документам — в приложениях [перечень и версии].</w:t>
      </w:r>
    </w:p>
    <w:p>
      <w:r>
        <w:t>В ответе сохраните номера позиций. По каждой укажите количество и единицу, цену единицы и партии, налоговые условия, срок и событие его начала. Доставку и упаковку покажите отдельно: включены или оплачиваются дополнительно; назовите сумму и точный объем.</w:t>
      </w:r>
    </w:p>
    <w:p>
      <w:r>
        <w:t>Также просим указать оплату, приемку, документы и срок действия предложения. Отклонения перечислите явно. Альтернативы: [разрешены отдельным вариантом/не рассматриваются]. Частичный ответ: [допустим/не допустим]; если допустим, укажите статус каждой строки.</w:t>
      </w:r>
    </w:p>
    <w:p>
      <w:r>
        <w:t>Вопросы просим направить до [дата]. Ответ — до [дата, время, часовой пояс] на [контакт]. Технические вопросы: [контакт]. Покупатель: [название и ИНН]. Вложения: [перечень файлов и версий].</w:t>
      </w:r>
    </w:p>
    <w:p>
      <w:r>
        <w:t>У каждого документа собственная редакция. В перечне файлов укажите их отдельно и проверьте, что ссылки внутри спецификации ведут к приложенному актуальному чертежу.</w:t>
      </w:r>
    </w:p>
    <w:p>
      <w:pPr>
        <w:pStyle w:val="Heading1"/>
      </w:pPr>
      <w:r>
        <w:t>Спецификация запроса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2891"/>
        <w:gridCol w:w="1644"/>
        <w:gridCol w:w="1871"/>
        <w:gridCol w:w="1701"/>
      </w:tblGrid>
      <w:tr>
        <w:trPr>
          <w:cantSplit/>
          <w:tblHeader/>
        </w:trPr>
        <w:tc>
          <w:tcPr>
            <w:tcW w:type="dxa" w:w="624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№</w:t>
            </w:r>
          </w:p>
        </w:tc>
        <w:tc>
          <w:tcPr>
            <w:tcW w:type="dxa" w:w="2891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Предмет и документ</w:t>
            </w:r>
          </w:p>
        </w:tc>
        <w:tc>
          <w:tcPr>
            <w:tcW w:type="dxa" w:w="1644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Количество и единица</w:t>
            </w:r>
          </w:p>
        </w:tc>
        <w:tc>
          <w:tcPr>
            <w:tcW w:type="dxa" w:w="1871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Комплектность</w:t>
            </w:r>
          </w:p>
        </w:tc>
        <w:tc>
          <w:tcPr>
            <w:tcW w:type="dxa" w:w="1701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Получение</w:t>
            </w:r>
          </w:p>
        </w:tc>
      </w:tr>
      <w:tr>
        <w:trPr>
          <w:cantSplit/>
        </w:trPr>
        <w:tc>
          <w:tcPr>
            <w:tcW w:type="dxa" w:w="62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[№]</w:t>
            </w:r>
          </w:p>
        </w:tc>
        <w:tc>
          <w:tcPr>
            <w:tcW w:type="dxa" w:w="289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[изделие; чертеж и редакция]</w:t>
            </w:r>
          </w:p>
        </w:tc>
        <w:tc>
          <w:tcPr>
            <w:tcW w:type="dxa" w:w="16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[количество; ед.]</w:t>
            </w:r>
          </w:p>
        </w:tc>
        <w:tc>
          <w:tcPr>
            <w:tcW w:type="dxa" w:w="187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[что входит]</w:t>
            </w:r>
          </w:p>
        </w:tc>
        <w:tc>
          <w:tcPr>
            <w:tcW w:type="dxa" w:w="170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[дата, адрес]</w:t>
            </w:r>
          </w:p>
        </w:tc>
      </w:tr>
      <w:tr>
        <w:trPr>
          <w:cantSplit/>
        </w:trPr>
        <w:tc>
          <w:tcPr>
            <w:tcW w:type="dxa" w:w="62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[№]</w:t>
            </w:r>
          </w:p>
        </w:tc>
        <w:tc>
          <w:tcPr>
            <w:tcW w:type="dxa" w:w="289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[изделие; чертеж и редакция]</w:t>
            </w:r>
          </w:p>
        </w:tc>
        <w:tc>
          <w:tcPr>
            <w:tcW w:type="dxa" w:w="16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[количество; ед.]</w:t>
            </w:r>
          </w:p>
        </w:tc>
        <w:tc>
          <w:tcPr>
            <w:tcW w:type="dxa" w:w="187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[что входит]</w:t>
            </w:r>
          </w:p>
        </w:tc>
        <w:tc>
          <w:tcPr>
            <w:tcW w:type="dxa" w:w="1701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[дата, адрес]</w:t>
            </w:r>
          </w:p>
        </w:tc>
      </w:tr>
    </w:tbl>
    <w:p/>
    <w:p>
      <w:r>
        <w:t>Обязательные требования: [перечень и источники]. Возможные варианты: [перечень]. Приемка и документы: [требования]. Открытые вопросы до отправки: [перечень; ответственный].</w:t>
      </w:r>
    </w:p>
    <w:p>
      <w:r>
        <w:br w:type="page"/>
      </w:r>
    </w:p>
    <w:p>
      <w:pPr>
        <w:pStyle w:val="Heading1"/>
      </w:pPr>
      <w:r>
        <w:t>Учебный пакет и проверка</w:t>
      </w:r>
    </w:p>
    <w:p>
      <w:r>
        <w:t>Условный пример: 80 металлических поддонов ПД-08, шт. Требуется получение 18.11.2026 на складе покупателя. Учебная строка описывает коммуникацию, а не достаточное ТЗ на поддон: конструкция и нагрузка в реальном заказе должны быть заданы техническим подразделением.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3118"/>
        <w:gridCol w:w="3345"/>
      </w:tblGrid>
      <w:tr>
        <w:trPr>
          <w:cantSplit/>
          <w:tblHeader/>
        </w:trPr>
        <w:tc>
          <w:tcPr>
            <w:tcW w:type="dxa" w:w="2268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Документ</w:t>
            </w:r>
          </w:p>
        </w:tc>
        <w:tc>
          <w:tcPr>
            <w:tcW w:type="dxa" w:w="3118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До проверки</w:t>
            </w:r>
          </w:p>
        </w:tc>
        <w:tc>
          <w:tcPr>
            <w:tcW w:type="dxa" w:w="3345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Согласованный пакет</w:t>
            </w:r>
          </w:p>
        </w:tc>
      </w:tr>
      <w:tr>
        <w:trPr>
          <w:cantSplit/>
        </w:trPr>
        <w:tc>
          <w:tcPr>
            <w:tcW w:type="dxa" w:w="226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Чертеж ПД-08</w:t>
            </w:r>
          </w:p>
        </w:tc>
        <w:tc>
          <w:tcPr>
            <w:tcW w:type="dxa" w:w="311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Редакция 2</w:t>
            </w:r>
          </w:p>
        </w:tc>
        <w:tc>
          <w:tcPr>
            <w:tcW w:type="dxa" w:w="334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Редакция 2 без изменений</w:t>
            </w:r>
          </w:p>
        </w:tc>
      </w:tr>
      <w:tr>
        <w:trPr>
          <w:cantSplit/>
        </w:trPr>
        <w:tc>
          <w:tcPr>
            <w:tcW w:type="dxa" w:w="226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Спецификация ПД-08</w:t>
            </w:r>
          </w:p>
        </w:tc>
        <w:tc>
          <w:tcPr>
            <w:tcW w:type="dxa" w:w="311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Редакция 1; внутри ссылка на чертеж ПД-08, ред. 1</w:t>
            </w:r>
          </w:p>
        </w:tc>
        <w:tc>
          <w:tcPr>
            <w:tcW w:type="dxa" w:w="334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Редакция 3; внутри ссылка на чертеж ПД-08, ред. 2</w:t>
            </w:r>
          </w:p>
        </w:tc>
      </w:tr>
      <w:tr>
        <w:trPr>
          <w:cantSplit/>
        </w:trPr>
        <w:tc>
          <w:tcPr>
            <w:tcW w:type="dxa" w:w="226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Письмо и список файлов</w:t>
            </w:r>
          </w:p>
        </w:tc>
        <w:tc>
          <w:tcPr>
            <w:tcW w:type="dxa" w:w="311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Чертеж ред. 2 и спецификация ред. 1 с устаревшей ссылкой</w:t>
            </w:r>
          </w:p>
        </w:tc>
        <w:tc>
          <w:tcPr>
            <w:tcW w:type="dxa" w:w="334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Чертеж ред. 2 и спецификация ред. 3</w:t>
            </w:r>
          </w:p>
        </w:tc>
      </w:tr>
    </w:tbl>
    <w:p/>
    <w:p>
      <w:r>
        <w:t>Ошибка исходного пакета — ссылка спецификации на старый чертеж. Разные номера редакций разных документов допустимы: после согласования используются чертеж ред. 2 и спецификация ред. 3. Проверяются ссылки и содержание, а не равенство номеров. В письме перечислены оба документа с их собственными редакциями.</w:t>
      </w:r>
    </w:p>
    <w:p>
      <w:r>
        <w:t>Формулировка «поставка в ноябре» заменена на дату получения 18.11.2026. Реальный адрес и разгрузку заполняют до отправки.</w:t>
      </w:r>
    </w:p>
    <w:p>
      <w:r>
        <w:t>☐ Все адресаты получили один согласованный пакет.</w:t>
      </w:r>
    </w:p>
    <w:p>
      <w:r>
        <w:t>☐ Спецификация ссылается на приложенную редакцию чертежа.</w:t>
      </w:r>
    </w:p>
    <w:p>
      <w:r>
        <w:t>☐ Количество не перепутано с числом грузовых мест.</w:t>
      </w:r>
    </w:p>
    <w:p>
      <w:r>
        <w:t>☐ Дата означает получение в названном пункте.</w:t>
      </w:r>
    </w:p>
    <w:p>
      <w:r>
        <w:t>☐ Доставка, приемка и документы имеют определенный состав.</w:t>
      </w:r>
    </w:p>
    <w:p>
      <w:r>
        <w:t>☐ Понятна допустимость частичного ответа и альтернатив.</w:t>
      </w:r>
    </w:p>
    <w:p>
      <w:r>
        <w:t>Для рецензии закупщика: проверить, сможет ли поставщик отделить обязательное требование от обсуждаемого варианта и назвать отклонение без догадок. Рецензия специалиста пока не получена.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РусПром  ·  Рабочая форма  ·  01.10.2026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